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C5" w:rsidRPr="005E27C5" w:rsidRDefault="005E27C5" w:rsidP="005E27C5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5E27C5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  <w:t>Аттестация выпускников 9 классов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ind w:right="85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b/>
          <w:bCs/>
          <w:color w:val="373737"/>
          <w:spacing w:val="40"/>
          <w:sz w:val="36"/>
          <w:lang w:eastAsia="ru-RU"/>
        </w:rPr>
        <w:t>ПРИКАЗ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ind w:right="85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от 26.10.2011 №</w:t>
      </w:r>
      <w:r w:rsidRPr="005E27C5">
        <w:rPr>
          <w:rFonts w:ascii="inherit" w:eastAsia="Times New Roman" w:hAnsi="inherit" w:cs="Times New Roman"/>
          <w:color w:val="373737"/>
          <w:sz w:val="28"/>
          <w:u w:val="single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9"/>
          <w:szCs w:val="29"/>
          <w:u w:val="single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1743</w:t>
      </w:r>
      <w:r w:rsidRPr="005E27C5">
        <w:rPr>
          <w:rFonts w:ascii="inherit" w:eastAsia="Times New Roman" w:hAnsi="inherit" w:cs="Times New Roman"/>
          <w:color w:val="373737"/>
          <w:sz w:val="28"/>
          <w:u w:val="single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FFFFFF"/>
          <w:sz w:val="29"/>
          <w:szCs w:val="29"/>
          <w:u w:val="single"/>
          <w:bdr w:val="none" w:sz="0" w:space="0" w:color="auto" w:frame="1"/>
          <w:lang w:eastAsia="ru-RU"/>
        </w:rPr>
        <w:t>.</w:t>
      </w:r>
    </w:p>
    <w:p w:rsidR="005E27C5" w:rsidRPr="005E27C5" w:rsidRDefault="005E27C5" w:rsidP="005E27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             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5E27C5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 w:rsidRPr="005E27C5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  <w:lang w:eastAsia="ru-RU"/>
        </w:rPr>
        <w:t>рянск</w:t>
      </w:r>
    </w:p>
    <w:p w:rsidR="005E27C5" w:rsidRPr="005E27C5" w:rsidRDefault="005E27C5" w:rsidP="005E27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О проведении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государственной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(итоговой)</w:t>
      </w:r>
    </w:p>
    <w:p w:rsidR="005E27C5" w:rsidRPr="005E27C5" w:rsidRDefault="005E27C5" w:rsidP="005E27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аттестации выпускников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IX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классов</w:t>
      </w:r>
    </w:p>
    <w:p w:rsidR="005E27C5" w:rsidRPr="005E27C5" w:rsidRDefault="005E27C5" w:rsidP="005E27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общеобразовательных учреждений</w:t>
      </w:r>
    </w:p>
    <w:p w:rsidR="005E27C5" w:rsidRPr="005E27C5" w:rsidRDefault="005E27C5" w:rsidP="005E27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Брянской области в 2011-2012 учебном году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right="-5" w:firstLine="70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9"/>
          <w:szCs w:val="29"/>
          <w:bdr w:val="none" w:sz="0" w:space="0" w:color="auto" w:frame="1"/>
          <w:lang w:eastAsia="ru-RU"/>
        </w:rPr>
        <w:t>      </w:t>
      </w:r>
      <w:r w:rsidRPr="005E27C5">
        <w:rPr>
          <w:rFonts w:ascii="inherit" w:eastAsia="Times New Roman" w:hAnsi="inherit" w:cs="Times New Roman"/>
          <w:color w:val="373737"/>
          <w:sz w:val="29"/>
          <w:lang w:eastAsia="ru-RU"/>
        </w:rPr>
        <w:t> </w:t>
      </w:r>
      <w:proofErr w:type="gramStart"/>
      <w:r w:rsidRPr="005E27C5">
        <w:rPr>
          <w:rFonts w:ascii="inherit" w:eastAsia="Times New Roman" w:hAnsi="inherit" w:cs="Times New Roman"/>
          <w:color w:val="373737"/>
          <w:sz w:val="28"/>
          <w:szCs w:val="28"/>
          <w:bdr w:val="none" w:sz="0" w:space="0" w:color="auto" w:frame="1"/>
          <w:lang w:eastAsia="ru-RU"/>
        </w:rPr>
        <w:t>На основании</w:t>
      </w:r>
      <w:r w:rsidRPr="005E27C5">
        <w:rPr>
          <w:rFonts w:ascii="inherit" w:eastAsia="Times New Roman" w:hAnsi="inherit" w:cs="Times New Roman"/>
          <w:color w:val="373737"/>
          <w:sz w:val="28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9"/>
          <w:szCs w:val="29"/>
          <w:bdr w:val="none" w:sz="0" w:space="0" w:color="auto" w:frame="1"/>
          <w:lang w:eastAsia="ru-RU"/>
        </w:rPr>
        <w:t>Положения о государственной (итоговой) аттестации выпускников IX и XI(XII) классов общеобразовательных учреждений Российской Федерации, утвержденного</w:t>
      </w:r>
      <w:r w:rsidRPr="005E27C5">
        <w:rPr>
          <w:rFonts w:ascii="inherit" w:eastAsia="Times New Roman" w:hAnsi="inherit" w:cs="Times New Roman"/>
          <w:color w:val="373737"/>
          <w:sz w:val="29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9"/>
          <w:szCs w:val="29"/>
          <w:bdr w:val="none" w:sz="0" w:space="0" w:color="auto" w:frame="1"/>
          <w:lang w:eastAsia="ru-RU"/>
        </w:rPr>
        <w:t> приказом Минобразования РФ от 3 декабря 1999 г. № 1075 (с последующими изменениями, в части IX классов),</w:t>
      </w:r>
      <w:r w:rsidRPr="005E27C5">
        <w:rPr>
          <w:rFonts w:ascii="inherit" w:eastAsia="Times New Roman" w:hAnsi="inherit" w:cs="Times New Roman"/>
          <w:color w:val="373737"/>
          <w:sz w:val="29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8"/>
          <w:szCs w:val="28"/>
          <w:bdr w:val="none" w:sz="0" w:space="0" w:color="auto" w:frame="1"/>
          <w:lang w:eastAsia="ru-RU"/>
        </w:rPr>
        <w:t>в соответствии с письмами Министерства образовании и науки Российской Федерации от 07.10.2011 № МД-1341/03, Федеральной службы по надзору в сфере образования и науки от 11.10.2011 года</w:t>
      </w:r>
      <w:proofErr w:type="gramEnd"/>
      <w:r w:rsidRPr="005E27C5">
        <w:rPr>
          <w:rFonts w:ascii="inherit" w:eastAsia="Times New Roman" w:hAnsi="inherit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№ 02-120,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right="-144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ПРИКАЗЫВАЮ: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right="-144" w:firstLine="708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1. Продолжить в 2011-2012 учебном году апробацию проведения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качества знаний (в новой форме).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right="-144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       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2. Руководителям муниципальных органов управления образованием обеспечить проведение государственной (итоговой) аттестации учащихся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val="en-US" w:eastAsia="ru-RU"/>
        </w:rPr>
        <w:t>I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Х классов: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right="-144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-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три предмета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в новой форме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– два обязательных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предмета: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русский язык и математика,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один предмет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по выбору обучающихся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: биология, физика, химия, география, история, обществознание, иностранный язык, информатика и ИКТ, литература;</w:t>
      </w:r>
      <w:proofErr w:type="gramEnd"/>
    </w:p>
    <w:p w:rsidR="005E27C5" w:rsidRPr="005E27C5" w:rsidRDefault="005E27C5" w:rsidP="005E27C5">
      <w:pPr>
        <w:shd w:val="clear" w:color="auto" w:fill="FFFFFF"/>
        <w:spacing w:after="0" w:line="240" w:lineRule="auto"/>
        <w:ind w:right="-144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-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в традиционной форме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–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один предмет по выбору обучающихся из числа предметов, изучавшихся в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IX классе;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right="-144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       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3. Рекомендовать в период апробации предоставить возможность выбора формы государственной итоговой аттестации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(традиционная или новая</w:t>
      </w:r>
      <w:proofErr w:type="gramStart"/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)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ледующим категориям выпускников: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left="644" w:right="-144" w:hanging="36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×</w:t>
      </w:r>
      <w:r w:rsidRPr="005E27C5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     </w:t>
      </w:r>
      <w:r w:rsidRPr="005E27C5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с ограниченными возможностями здоровья;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left="644" w:right="-144" w:hanging="36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×</w:t>
      </w:r>
      <w:r w:rsidRPr="005E27C5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     </w:t>
      </w:r>
      <w:r w:rsidRPr="005E27C5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обучающимся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по состоянию здоровья на дому;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left="644" w:right="-144" w:hanging="36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×</w:t>
      </w:r>
      <w:r w:rsidRPr="005E27C5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     </w:t>
      </w:r>
      <w:r w:rsidRPr="005E27C5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обучающимся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в оздоровительных образовательных учреждениях санаторного типа;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left="644" w:right="-144" w:hanging="36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×</w:t>
      </w:r>
      <w:r w:rsidRPr="005E27C5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     </w:t>
      </w:r>
      <w:r w:rsidRPr="005E27C5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находившимся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в лечебно-профилактических учреждениях более 4 месяцев;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left="644" w:right="-144" w:hanging="36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×</w:t>
      </w:r>
      <w:r w:rsidRPr="005E27C5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     </w:t>
      </w:r>
      <w:r w:rsidRPr="005E27C5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обучающимся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в вечерних (сменных) общеобразовательных учреждениях;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left="644" w:right="-144" w:hanging="36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×</w:t>
      </w:r>
      <w:r w:rsidRPr="005E27C5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     </w:t>
      </w:r>
      <w:r w:rsidRPr="005E27C5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выпускникам специальных учебно-воспитательных учреждений закрытого типа для детей и подростков с </w:t>
      </w:r>
      <w:proofErr w:type="spellStart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девиантным</w:t>
      </w:r>
      <w:proofErr w:type="spellEnd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поведением;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left="644" w:right="-144" w:hanging="36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×</w:t>
      </w:r>
      <w:r w:rsidRPr="005E27C5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     </w:t>
      </w:r>
      <w:r w:rsidRPr="005E27C5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выпускникам учреждений, созданных при учреждениях, исполняющих наказания в виде лишения свободы;</w:t>
      </w:r>
    </w:p>
    <w:p w:rsidR="005E27C5" w:rsidRPr="005E27C5" w:rsidRDefault="005E27C5" w:rsidP="005E27C5">
      <w:pPr>
        <w:shd w:val="clear" w:color="auto" w:fill="FFFFFF"/>
        <w:spacing w:after="0" w:line="240" w:lineRule="auto"/>
        <w:ind w:left="644" w:right="-144" w:hanging="36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×</w:t>
      </w:r>
      <w:r w:rsidRPr="005E27C5"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  <w:t>         </w:t>
      </w:r>
      <w:r w:rsidRPr="005E27C5">
        <w:rPr>
          <w:rFonts w:ascii="Times New Roman" w:eastAsia="Times New Roman" w:hAnsi="Times New Roman" w:cs="Times New Roman"/>
          <w:color w:val="373737"/>
          <w:sz w:val="14"/>
          <w:lang w:eastAsia="ru-RU"/>
        </w:rPr>
        <w:t> 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получившим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основное общее образование в специальных (коррекционных) классах общеобразовательных учреждений.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4.Контроль исполнения настоящего приказа возложить на первого заместителя директора департамента И.И. </w:t>
      </w:r>
      <w:proofErr w:type="spell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Потворова</w:t>
      </w:r>
      <w:proofErr w:type="spell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Директор департамента                                                           В.Н.Оборотов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Порядок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lastRenderedPageBreak/>
        <w:t xml:space="preserve">проведения государственной (итоговой) аттестации выпускников </w:t>
      </w:r>
      <w:proofErr w:type="gramStart"/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I</w:t>
      </w:r>
      <w:proofErr w:type="gramEnd"/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Х классов в новой форме на территории Брянской области в 2012 году</w:t>
      </w:r>
    </w:p>
    <w:p w:rsidR="005E27C5" w:rsidRPr="005E27C5" w:rsidRDefault="005E27C5" w:rsidP="005E27C5">
      <w:pP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90" w:line="240" w:lineRule="auto"/>
        <w:textAlignment w:val="baseline"/>
        <w:rPr>
          <w:rFonts w:ascii="Courier" w:eastAsia="Times New Roman" w:hAnsi="Courier" w:cs="Courier New"/>
          <w:color w:val="373737"/>
          <w:sz w:val="20"/>
          <w:szCs w:val="20"/>
          <w:lang w:eastAsia="ru-RU"/>
        </w:rPr>
      </w:pPr>
      <w:r w:rsidRPr="005E27C5">
        <w:rPr>
          <w:rFonts w:ascii="Courier" w:eastAsia="Times New Roman" w:hAnsi="Courier" w:cs="Courier New"/>
          <w:color w:val="373737"/>
          <w:sz w:val="20"/>
          <w:szCs w:val="20"/>
          <w:lang w:eastAsia="ru-RU"/>
        </w:rPr>
        <w:t> 1.Общие положения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1.1. 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Государственная (итоговая) аттестация выпускников IX классов в новой форме проводится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 основании Положения о государственной (итоговой) аттестации выпускников IX и XI (ХП) классов общеобразовательных учреждений Российской Федерации, утвержденного приказом Минобразования России от 03.12.1999 № 1075 (с последующими изменениями, в части IX классов), писем Министерства образовании и науки Российской Федерации от 07.10.2011 № МД-1341/03, Федеральной службы по надзору в сфере образования и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науки от 11.10.2011 года № 02-120, приказа департамента общего и профессионального образования Брянской области от 26.10.2011 № 1743 «О проведении государственной (итоговой) аттестации выпускников 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I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Х классов общеобразовательных учреждений Брянской области в 2011-2012 учебном году».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Настоящий документ регламентирует проведение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государственной (итоговой) аттестации в новой форме (далее – ГИА-9) выпускников IX классов общеобразовательных учреждений Брянской области в 2011-2012 учебном году.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1.2. 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2011-2012 учебном году продолжается апробация новой формы государственной (итоговой) аттестации выпускников IX классов по 11 общеобразовательным предметам: по русскому языку, математике, биологии, физике, химии, географии, истории, обществознанию, иностранному языку, информатике и ИКТ, литературе.</w:t>
      </w:r>
      <w:proofErr w:type="gramEnd"/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1.3. Выпускники IX классов общеобразовательных учреждений сдают не менее 4-х предметов: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-три предмета в новой форме – два обязательных предмета: русский язык и математика, один предмет по выбору обучающихся: биология, физика, химия, география, история, обществознание, иностранный язык, информатика и ИКТ, литература;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</w:t>
      </w:r>
      <w:r w:rsidRPr="005E27C5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в традиционной форме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– один предмет по выбору обучающихся из числа предметов, изучавшихся в IX классе.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1.4. В период апробации предоставляется возможность выбора формы аттестации (традиционной или новой) по предметам, указанным в п.1.2. для следующих категорий выпускников: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-с ограниченными возможностями здоровья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(выпускники с ограниченными возможностями здоровья предоставляют оригинал или ксерокопию одного из следующих документов: выписку из протокола Брянской областной ПМПК (выданную ранее, а не в период сдачи государственной (итоговой) аттестации) или справку, подтверждающую факт установления инвалидности, выданную Федеральным государственным учреждением медико-социальной экспертизы);</w:t>
      </w:r>
      <w:proofErr w:type="gramEnd"/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обучающихся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по состоянию здоровья на дому;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-обучающихся в оздоровительных образовательных учреждениях санаторного типа;</w:t>
      </w:r>
      <w:proofErr w:type="gramEnd"/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- находившихся в лечебно-профилактических учреждениях более 4 месяцев;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(Для обеспечения государственной (итоговой) аттестации вышеперечисленных категорий выпускников в традиционной форме муниципальные органы управления образованием (далее – МОУО) предоставляют в департамент общего и профессионального образования Брянской области (далее – департамент) до 11 апреля следующий пакет документов:</w:t>
      </w:r>
      <w:proofErr w:type="gramEnd"/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•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 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представление МОУО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 согласовании прохождения государственной (итоговой) аттестации в традиционной форме,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содержащее сведения о выпускниках;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•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 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копии медицинских документов, заверенные печатью и подписью руководителя общеобразовательного учреждения: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справку МСЭ об инвалидности, выписку протокола Брянской областной ПМПК (выданную ранее, а не в период сдачи государственной (итоговой) аттестации), заключение комиссии лечебно-профилактического учреждения (больницы, поликлиники, диспансера) об организации обучения на дому, документ об обучении в образовательном учреждении санаторного типа, справки лечебно-профилактических учреждений о болезни на 120 дней и более);</w:t>
      </w:r>
      <w:proofErr w:type="gramEnd"/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•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 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копию заявления выпускника в образовательное учреждение с указанием перечня общеобразовательных предметов, по которым планирует сдавать государственную (итоговую) аттестацию в традиционной форме,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места и условий проведения экзаменов.);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 обучающихся в вечерних (сменных) общеобразовательных учреждениях;</w:t>
      </w:r>
      <w:proofErr w:type="gramEnd"/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- выпускников специальных учебно-воспитательных учреждений закрытого типа для детей и подростков с </w:t>
      </w:r>
      <w:proofErr w:type="spell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девиантным</w:t>
      </w:r>
      <w:proofErr w:type="spell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поведением;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 выпускников учреждений, созданных при учреждениях, исполняющих наказания в виде лишения свободы;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 получивших основное общее образование в специальных (коррекционных) классах общеобразовательных учреждений.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1.5. 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Аттестация обучающихся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вечерних (сменных) общеобразовательных учреждений, призываемых на военную службу, обучающихся,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 может проводиться досрочно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но не ранее 20 апреля текущего года, в формах, установленных настоящим Положением.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Заявление на проведение досрочной аттестации направляется МОУО, в департамент общего и профессионального образования в срок до 1 марта текущего года.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2.Сроки и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продолжительность проведения ГИА – 9 в новой форме.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ГИА – 9 организуется в сроки, определенные </w:t>
      </w:r>
      <w:proofErr w:type="spell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Рособрнадзором</w:t>
      </w:r>
      <w:proofErr w:type="spell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Единое расписание проведения ГИА – 9 и его продолжительность по каждому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общеобразовательному предмету ежегодно утверждается </w:t>
      </w:r>
      <w:proofErr w:type="spell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Рособрнадзором</w:t>
      </w:r>
      <w:proofErr w:type="spell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продолжительность экзамена по общеобразовательным предметам не включается время, выделенное на подготовительные мероприятия (инструктаж участников ГИА–9, заполнение регистрационных полей бланков №1, 2).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 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3.Организация проведения ГИА-9 в новой форме.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3.1. ГИА-9 проводится в пунктах проведения экзамена (ППЭ), количество и место которых утверждаются департаментом по представлению МОУО.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Количество и места расположения пунктов проведения ГИА-9 определяются исходя из того, что в пункте проведения ГИА-9 должно присутствовать не менее 15 участников ГИА-9.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3.2. На время проведения ГИА-9 в аудиториях должны быть закрыты стенды, плакаты и иные материалы с информационной и </w:t>
      </w:r>
      <w:proofErr w:type="spell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справочн</w:t>
      </w:r>
      <w:proofErr w:type="gramStart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</w:t>
      </w:r>
      <w:proofErr w:type="spell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</w:t>
      </w:r>
      <w:proofErr w:type="gramEnd"/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познавательной информацией по соответствующим общеобразовательным предметам.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3.3. Для участников ГИА-9 с ограниченными возможностями здоровья пункт проведения ГИА-9 должен быть оборудован с учётом их индивидуальных особенностей.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3.4. В день проведения экзамена в пункте проведения ГИА-9 должны присутствовать: руководитель ППЭ и организаторы, уполномоченный представитель РЭК,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руководитель организации, на базе которой организован пункт проведения ГИА-9, или уполномоченное им лицо, медицинский работник.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3.5. Руководители ППЭ и организаторы назначаются МОУО.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3.6. При проведении ГИА-9 по соответствующему общеобразовательному предмету в состав организаторов не должны входить специалисты по данному или родственному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общеобразовательному предмету.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3.7. Участникам ГИА-9 во время проведения экзамена запрещается пользоваться мобильными телефонами, иными средствами связи, электронно-вычислительной техникой.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3.8. Организаторы, ассистенты, общественные наблюдатели и иные лица, присутствующие в аудиториях, также не могут пользоваться указанными средствами связи.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3.9. Экзаменационные материалы доставляются в пункты проведения ГИА-9 уполномоченными представителями РЭК в день проведения экзамена по соответствующему общеобразовательному предмету.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3.10. До начала экзамена руководитель пункта проведения ГИА-9 организует распределение участников ГИА-9 и организаторов по аудиториям.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3.11. До начала экзамена организаторы проводят инструктаж участников ГИА-9, информируют о порядке проведения экзамена, правилах заполнения бланков, продолжительности, порядке подачи апелляций.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 завершении заполнения регистрационных полей бланков ГИА-9 всеми участниками организаторы объявляют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начало экзамена и время его окончания, после чего участники ГИА-9 могут приступить к выполнению экзаменационной работы.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3.12. Во время экзамена участники ГИА-9 должны соблюдать установленный порядок проведения ГИА-9 и следовать указаниям организаторов.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несоблюдении порядка проведения ГИА-9 организаторы удаляют участников ГИА-9 с экзамена и совместно с уполномоченным представителем РЭК составляют акт об удалении участника ГИА-9 с экзамена.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3.13.По истечении времени экзамена организаторы объявляют окончание экзамена и собирают экзаменационные материалы у участников ГИА-9.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Собранные экзаменационные материалы организаторы в присутствии участников ГИА-9 упаковывают в отдельные пакеты. На каждом пакете организаторы отмечают наименование общеобразовательного предмета, номер пункта проведения ГИА-9, номер аудитории и количество бланков в пакете.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Участники ГИА-9, досрочно завершившие выполнение экзаменационной работы, могут сдать её организаторам и покинуть пункт проведения, не дожидаясь завершения окончания экзамена.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3.14.Запечатанные пакеты с экзаменационными материалами доставляются уполномоченным представителем РЭК из пункта проведения ГИА-9 в ГАУ ДПО (ПК) С «Брянский областной центр оценки качества образования» (далее – РЦОИ).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4.Проверка экзаменационных работ участников ГИА-9.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4.1. Проверка экзаменационных работ участников ГИА-9 включает в себя: обработку бланков; проверку ответов участников ГИА-9 на задания экзаменационной работы с развернутым ответом; централизованную проверку экзаменационных работ участников ГИА-9.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4.2. Обработка бланков ГИА-9 осуществляется РЦОИ с использованием специальных аппаратно-программных средств.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4.3.Проверку ответов на задания экзаменационных работ с развернутым ответом осуществляют предметные областные комиссии, утвержденные приказом департамента общего и профессионального образования.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4.4. Результаты ГИА-9 передаются в образовательные учреждения, а также в органы местного самоуправления, осуществляющие управление в сфере образования.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4.5. Выпускники, получившие в ходе ГИА-9 неудовлетворительные отметки по обязательным предметам (русский язык и математика), получившие неудовлетворительные отметки при сдаче экзаменов по выбору в новой форме, пересдают экзамен в традиционной форме в сроки, установленные образовательным учреждением.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4.6. По результатам ГИА-9 выдаётся свидетельство, заверенное руководителем МОУО.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5.Прием и рассмотрение апелляций.</w:t>
      </w:r>
    </w:p>
    <w:p w:rsidR="005E27C5" w:rsidRPr="005E27C5" w:rsidRDefault="005E27C5" w:rsidP="005E27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5.1.В целях обеспечения права на объективное оценивание участникам ГИА-9 предоставляется право подать в письменной форме апелляцию о нарушении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 </w:t>
      </w: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установленного порядка проведения ГИА-9 по общеобразовательному предмету и (или) о несогласии с выставленными баллами в конфликтную комиссию.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5.2.При рассмотрении апелляции может присутствовать участник ГИА-9 и (или) его родители (законные представители).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5.3.Апелляцию о нарушении установленного порядка проведения ГИА-9 по общеобразовательному предмету участник ГИА-9 подает в день проведения экзамена уполномоченному представителю РЭК, не покидая пункта поведения ГИА-9.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Результаты оформляются в форме заключения комиссии и передаются в тот же день уполномоченным представителем РЭК в конфликтную комиссию.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удовлетворении апелляции результат ГИА-9, по процедуре которого была подана апелляция, отменяется и участнику ГИА-9 предоставляется возможность сдать ГИА-9 по данному общеобразовательному предмету в иной день, предусмотренный единым расписанием проведения ГИА-9 в текущем году.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5.4.Апелляция о несогласии с выставленными баллами может быть подана в течение двух рабочих дней со дня объявления результатов ГИА-9 по соответствующему общеобразовательному предмету.</w:t>
      </w:r>
    </w:p>
    <w:p w:rsidR="005E27C5" w:rsidRPr="005E27C5" w:rsidRDefault="005E27C5" w:rsidP="005E27C5">
      <w:pPr>
        <w:shd w:val="clear" w:color="auto" w:fill="FFFFFF"/>
        <w:spacing w:after="390" w:line="360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E27C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27419B" w:rsidRDefault="0027419B"/>
    <w:sectPr w:rsidR="0027419B" w:rsidSect="005E27C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C5"/>
    <w:rsid w:val="000210CA"/>
    <w:rsid w:val="00032409"/>
    <w:rsid w:val="000335A9"/>
    <w:rsid w:val="00045B58"/>
    <w:rsid w:val="00070249"/>
    <w:rsid w:val="00074528"/>
    <w:rsid w:val="000868FE"/>
    <w:rsid w:val="000C1598"/>
    <w:rsid w:val="000C7921"/>
    <w:rsid w:val="000E60AE"/>
    <w:rsid w:val="00130902"/>
    <w:rsid w:val="00157064"/>
    <w:rsid w:val="00173640"/>
    <w:rsid w:val="00193254"/>
    <w:rsid w:val="001B3553"/>
    <w:rsid w:val="001C54C8"/>
    <w:rsid w:val="001D26FC"/>
    <w:rsid w:val="001D6782"/>
    <w:rsid w:val="00206B7D"/>
    <w:rsid w:val="00232291"/>
    <w:rsid w:val="00240C1F"/>
    <w:rsid w:val="00253937"/>
    <w:rsid w:val="0027240B"/>
    <w:rsid w:val="0027419B"/>
    <w:rsid w:val="00280365"/>
    <w:rsid w:val="002D16B8"/>
    <w:rsid w:val="002E09F3"/>
    <w:rsid w:val="002E6785"/>
    <w:rsid w:val="002F19DE"/>
    <w:rsid w:val="002F6B03"/>
    <w:rsid w:val="00307017"/>
    <w:rsid w:val="00311EAC"/>
    <w:rsid w:val="00314095"/>
    <w:rsid w:val="0037100A"/>
    <w:rsid w:val="003834B8"/>
    <w:rsid w:val="003A57BA"/>
    <w:rsid w:val="003A6737"/>
    <w:rsid w:val="003C1DD0"/>
    <w:rsid w:val="003C4CA3"/>
    <w:rsid w:val="003D56A5"/>
    <w:rsid w:val="00404574"/>
    <w:rsid w:val="0042489B"/>
    <w:rsid w:val="004343DA"/>
    <w:rsid w:val="0044338E"/>
    <w:rsid w:val="00451BC2"/>
    <w:rsid w:val="00466B9E"/>
    <w:rsid w:val="00474A1D"/>
    <w:rsid w:val="00475B68"/>
    <w:rsid w:val="004A4362"/>
    <w:rsid w:val="004D5DAF"/>
    <w:rsid w:val="004F6B38"/>
    <w:rsid w:val="0050088E"/>
    <w:rsid w:val="005067F1"/>
    <w:rsid w:val="00516A31"/>
    <w:rsid w:val="00524277"/>
    <w:rsid w:val="00524863"/>
    <w:rsid w:val="00524BD2"/>
    <w:rsid w:val="00525AD8"/>
    <w:rsid w:val="00531BEB"/>
    <w:rsid w:val="0054115A"/>
    <w:rsid w:val="005445A9"/>
    <w:rsid w:val="00570832"/>
    <w:rsid w:val="00587C09"/>
    <w:rsid w:val="00587E5D"/>
    <w:rsid w:val="005A4561"/>
    <w:rsid w:val="005A6C2D"/>
    <w:rsid w:val="005B0918"/>
    <w:rsid w:val="005E231E"/>
    <w:rsid w:val="005E27C5"/>
    <w:rsid w:val="00627845"/>
    <w:rsid w:val="006627C9"/>
    <w:rsid w:val="006859E4"/>
    <w:rsid w:val="00694B62"/>
    <w:rsid w:val="006C762E"/>
    <w:rsid w:val="006F36DE"/>
    <w:rsid w:val="006F7C0E"/>
    <w:rsid w:val="006F7F99"/>
    <w:rsid w:val="0074513F"/>
    <w:rsid w:val="007C0209"/>
    <w:rsid w:val="007C2BEC"/>
    <w:rsid w:val="007D699D"/>
    <w:rsid w:val="007F4228"/>
    <w:rsid w:val="007F46AF"/>
    <w:rsid w:val="00820C28"/>
    <w:rsid w:val="00822B2A"/>
    <w:rsid w:val="008577DD"/>
    <w:rsid w:val="008644DF"/>
    <w:rsid w:val="00871DE0"/>
    <w:rsid w:val="008731E2"/>
    <w:rsid w:val="00881B71"/>
    <w:rsid w:val="00882B0A"/>
    <w:rsid w:val="008A0087"/>
    <w:rsid w:val="008A4ED2"/>
    <w:rsid w:val="008C3787"/>
    <w:rsid w:val="008D0414"/>
    <w:rsid w:val="008D1424"/>
    <w:rsid w:val="008E7666"/>
    <w:rsid w:val="008F7059"/>
    <w:rsid w:val="00902558"/>
    <w:rsid w:val="00914632"/>
    <w:rsid w:val="00915ECC"/>
    <w:rsid w:val="009200E8"/>
    <w:rsid w:val="00964467"/>
    <w:rsid w:val="00994754"/>
    <w:rsid w:val="009A7C07"/>
    <w:rsid w:val="009C6EF0"/>
    <w:rsid w:val="009F5905"/>
    <w:rsid w:val="00A103DA"/>
    <w:rsid w:val="00A117BC"/>
    <w:rsid w:val="00A4384E"/>
    <w:rsid w:val="00A46ECC"/>
    <w:rsid w:val="00A8574A"/>
    <w:rsid w:val="00A9241E"/>
    <w:rsid w:val="00A96E05"/>
    <w:rsid w:val="00AC1A11"/>
    <w:rsid w:val="00AE3882"/>
    <w:rsid w:val="00AE5429"/>
    <w:rsid w:val="00B84DE0"/>
    <w:rsid w:val="00BB069F"/>
    <w:rsid w:val="00BB72E9"/>
    <w:rsid w:val="00BD6150"/>
    <w:rsid w:val="00C00008"/>
    <w:rsid w:val="00C00CB9"/>
    <w:rsid w:val="00C15DA0"/>
    <w:rsid w:val="00C1658E"/>
    <w:rsid w:val="00C27C07"/>
    <w:rsid w:val="00C51D63"/>
    <w:rsid w:val="00C57623"/>
    <w:rsid w:val="00C70A5E"/>
    <w:rsid w:val="00C70BA9"/>
    <w:rsid w:val="00C73681"/>
    <w:rsid w:val="00CC1C21"/>
    <w:rsid w:val="00CC24C7"/>
    <w:rsid w:val="00CC29F8"/>
    <w:rsid w:val="00CE3F69"/>
    <w:rsid w:val="00D142E4"/>
    <w:rsid w:val="00D44DBF"/>
    <w:rsid w:val="00D67E65"/>
    <w:rsid w:val="00D84E95"/>
    <w:rsid w:val="00DB2A14"/>
    <w:rsid w:val="00DB4323"/>
    <w:rsid w:val="00DF4A78"/>
    <w:rsid w:val="00E023EE"/>
    <w:rsid w:val="00E05CD4"/>
    <w:rsid w:val="00E52205"/>
    <w:rsid w:val="00E63964"/>
    <w:rsid w:val="00E86932"/>
    <w:rsid w:val="00E92FCA"/>
    <w:rsid w:val="00E97112"/>
    <w:rsid w:val="00ED2333"/>
    <w:rsid w:val="00F105B1"/>
    <w:rsid w:val="00F54556"/>
    <w:rsid w:val="00F567A6"/>
    <w:rsid w:val="00F83BF4"/>
    <w:rsid w:val="00F937AE"/>
    <w:rsid w:val="00FE5A21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B"/>
  </w:style>
  <w:style w:type="paragraph" w:styleId="1">
    <w:name w:val="heading 1"/>
    <w:basedOn w:val="a"/>
    <w:link w:val="10"/>
    <w:uiPriority w:val="9"/>
    <w:qFormat/>
    <w:rsid w:val="005E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E27C5"/>
    <w:rPr>
      <w:b/>
      <w:bCs/>
    </w:rPr>
  </w:style>
  <w:style w:type="character" w:customStyle="1" w:styleId="apple-converted-space">
    <w:name w:val="apple-converted-space"/>
    <w:basedOn w:val="a0"/>
    <w:rsid w:val="005E27C5"/>
  </w:style>
  <w:style w:type="paragraph" w:styleId="a4">
    <w:name w:val="Block Text"/>
    <w:basedOn w:val="a"/>
    <w:uiPriority w:val="99"/>
    <w:semiHidden/>
    <w:unhideWhenUsed/>
    <w:rsid w:val="005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2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7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2115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2012-06-18T20:24:00Z</dcterms:created>
  <dcterms:modified xsi:type="dcterms:W3CDTF">2012-06-18T20:25:00Z</dcterms:modified>
</cp:coreProperties>
</file>